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7" w:rsidRDefault="00DF6B32">
      <w:pPr>
        <w:spacing w:after="906" w:line="259" w:lineRule="auto"/>
        <w:ind w:left="1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2100" cy="2559559"/>
                <wp:effectExtent l="0" t="0" r="0" b="0"/>
                <wp:docPr id="14946" name="Group 1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2559559"/>
                          <a:chOff x="0" y="0"/>
                          <a:chExt cx="6642100" cy="255955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24908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2559559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6" style="width:523pt;height:201.54pt;mso-position-horizontal-relative:char;mso-position-vertical-relative:line" coordsize="66421,25595">
                <v:shape id="Picture 8" style="position:absolute;width:66421;height:24908;left:0;top:0;" filled="f">
                  <v:imagedata r:id="rId8"/>
                </v:shape>
                <v:shape id="Shape 9" style="position:absolute;width:66421;height:0;left:0;top:25595;" coordsize="6642100,0" path="m0,0l6642100,0">
                  <v:stroke weight="1pt" endcap="flat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:rsidR="00945067" w:rsidRDefault="00DF6B32">
      <w:pPr>
        <w:spacing w:after="50" w:line="259" w:lineRule="auto"/>
        <w:ind w:left="10" w:right="33" w:hanging="10"/>
        <w:jc w:val="right"/>
      </w:pPr>
      <w:r>
        <w:t>N. 0157</w:t>
      </w:r>
    </w:p>
    <w:p w:rsidR="00945067" w:rsidRDefault="00DF6B32">
      <w:pPr>
        <w:spacing w:after="522"/>
        <w:ind w:left="-3" w:right="69"/>
      </w:pPr>
      <w:r>
        <w:t>Lunedì 15.03.2021</w:t>
      </w:r>
    </w:p>
    <w:p w:rsidR="00945067" w:rsidRDefault="00DF6B32">
      <w:pPr>
        <w:spacing w:after="393"/>
        <w:ind w:left="12" w:right="0" w:firstLine="0"/>
      </w:pPr>
      <w:proofErr w:type="spellStart"/>
      <w:r>
        <w:rPr>
          <w:sz w:val="24"/>
        </w:rPr>
        <w:t>Responsum</w:t>
      </w:r>
      <w:proofErr w:type="spellEnd"/>
      <w:r>
        <w:rPr>
          <w:sz w:val="24"/>
        </w:rPr>
        <w:t xml:space="preserve"> della Congregazione per la Dottrina della Fede ad un </w:t>
      </w:r>
      <w:proofErr w:type="spellStart"/>
      <w:r>
        <w:rPr>
          <w:sz w:val="24"/>
        </w:rPr>
        <w:t>dubium</w:t>
      </w:r>
      <w:proofErr w:type="spellEnd"/>
      <w:r>
        <w:rPr>
          <w:sz w:val="24"/>
        </w:rPr>
        <w:t xml:space="preserve"> circa la benedizione delle unioni di persone dello stesso sesso</w:t>
      </w:r>
    </w:p>
    <w:p w:rsidR="00945067" w:rsidRDefault="00DF6B32">
      <w:pPr>
        <w:spacing w:after="218" w:line="259" w:lineRule="auto"/>
        <w:ind w:left="7" w:right="0" w:hanging="10"/>
      </w:pPr>
      <w:r>
        <w:rPr>
          <w:u w:val="single" w:color="000000"/>
        </w:rPr>
        <w:t>Testo in lingua italiana</w:t>
      </w:r>
    </w:p>
    <w:p w:rsidR="00945067" w:rsidRDefault="00DF6B32">
      <w:pPr>
        <w:spacing w:after="245" w:line="259" w:lineRule="auto"/>
        <w:ind w:left="1781" w:right="1771" w:hanging="10"/>
        <w:jc w:val="center"/>
      </w:pPr>
      <w:proofErr w:type="spellStart"/>
      <w:r>
        <w:t>Responsum</w:t>
      </w:r>
      <w:proofErr w:type="spellEnd"/>
      <w:r>
        <w:t xml:space="preserve"> della Congregazione per la Dottrina della Fede ad un </w:t>
      </w:r>
      <w:proofErr w:type="spellStart"/>
      <w:r>
        <w:t>dubium</w:t>
      </w:r>
      <w:proofErr w:type="spellEnd"/>
      <w:r>
        <w:t xml:space="preserve"> circa la benedizione delle unioni di pers</w:t>
      </w:r>
      <w:r>
        <w:t>one dello stesso sesso</w:t>
      </w:r>
    </w:p>
    <w:p w:rsidR="00945067" w:rsidRDefault="00DF6B32">
      <w:pPr>
        <w:spacing w:after="38"/>
        <w:ind w:left="-3" w:right="69"/>
      </w:pPr>
      <w:r>
        <w:t>AL QUESITO PROPOSTO:</w:t>
      </w:r>
    </w:p>
    <w:p w:rsidR="00945067" w:rsidRDefault="00DF6B32">
      <w:pPr>
        <w:spacing w:after="248"/>
        <w:ind w:left="-3" w:right="69"/>
      </w:pPr>
      <w:r>
        <w:t>La Chiesa dispone del potere di impartire la benedizione a unioni di persone dello stesso sesso?</w:t>
      </w:r>
    </w:p>
    <w:p w:rsidR="00945067" w:rsidRDefault="00DF6B32">
      <w:pPr>
        <w:spacing w:after="38"/>
        <w:ind w:left="-3" w:right="69"/>
      </w:pPr>
      <w:r>
        <w:t>SI RISPONDE:</w:t>
      </w:r>
    </w:p>
    <w:p w:rsidR="00945067" w:rsidRDefault="00DF6B32">
      <w:pPr>
        <w:spacing w:after="248"/>
        <w:ind w:left="-3" w:right="69"/>
      </w:pPr>
      <w:r>
        <w:t>Negativamente.</w:t>
      </w:r>
    </w:p>
    <w:p w:rsidR="00945067" w:rsidRDefault="00DF6B32">
      <w:pPr>
        <w:spacing w:after="213" w:line="259" w:lineRule="auto"/>
        <w:ind w:left="1781" w:right="1771" w:hanging="10"/>
        <w:jc w:val="center"/>
      </w:pPr>
      <w:r>
        <w:t>Nota esplicativa</w:t>
      </w:r>
    </w:p>
    <w:p w:rsidR="00945067" w:rsidRDefault="00DF6B32">
      <w:pPr>
        <w:spacing w:after="0"/>
        <w:ind w:left="-3" w:right="69"/>
      </w:pPr>
      <w:r>
        <w:t>In alcuni ambiti ecclesiali si stanno diffondendo progetti e proposte di benedizioni per unioni di persone dello stesso sesso. Non di rado, tali progetti sono motivati da una sincera volontà di accoglienza e di</w:t>
      </w:r>
    </w:p>
    <w:p w:rsidR="00945067" w:rsidRDefault="00DF6B32">
      <w:pPr>
        <w:ind w:left="-3" w:right="69"/>
      </w:pPr>
      <w:r>
        <w:t>accompagnamento delle persone omosessuali, al</w:t>
      </w:r>
      <w:r>
        <w:t xml:space="preserve">le quali si propongono cammini di crescita nella fede, «affinché coloro che manifestano la tendenza omosessuale possano avere gli aiuti necessari per comprendere e realizzare pienamente la volontà di Dio nella loro </w:t>
      </w:r>
      <w:proofErr w:type="gramStart"/>
      <w:r>
        <w:t>vita»[</w:t>
      </w:r>
      <w:proofErr w:type="gramEnd"/>
      <w:r>
        <w:t>1].</w:t>
      </w:r>
    </w:p>
    <w:p w:rsidR="00945067" w:rsidRDefault="00DF6B32">
      <w:pPr>
        <w:ind w:left="-3" w:right="69"/>
      </w:pPr>
      <w:r>
        <w:t>In tali cammini, l’ascolto dell</w:t>
      </w:r>
      <w:r>
        <w:t>a parola di Dio, la preghiera, la partecipazione alle azioni liturgiche ecclesiali e l’esercizio della carità possono ricoprire un ruolo importante al fine di sostenere l’impegno di leggere la propria storia e di aderire con libertà e responsabilità alla p</w:t>
      </w:r>
      <w:r>
        <w:t xml:space="preserve">ropria chiamata battesimale, perché «Dio ama ogni persona e così fa la </w:t>
      </w:r>
      <w:proofErr w:type="gramStart"/>
      <w:r>
        <w:t>Chiesa»[</w:t>
      </w:r>
      <w:proofErr w:type="gramEnd"/>
      <w:r>
        <w:t>2], rifiutando ogni ingiusta discriminazione.</w:t>
      </w:r>
    </w:p>
    <w:p w:rsidR="00945067" w:rsidRDefault="00DF6B32">
      <w:pPr>
        <w:ind w:left="-3" w:right="69"/>
      </w:pPr>
      <w:r>
        <w:lastRenderedPageBreak/>
        <w:t xml:space="preserve">Tra le azioni liturgiche della Chiesa rivestono una singolare importanza i sacramentali, «segni sacri per mezzo dei quali, con una </w:t>
      </w:r>
      <w:r>
        <w:t>certa imitazione dei sacramenti, sono significati e, per impetrazione della Chiesa, vengono ottenuti effetti soprattutto spirituali. Per mezzo di essi gli uomini vengono disposti a ricevere l’effetto principale dei sacramenti e vengono santificate le varie</w:t>
      </w:r>
      <w:r>
        <w:t xml:space="preserve"> situazioni della </w:t>
      </w:r>
      <w:proofErr w:type="gramStart"/>
      <w:r>
        <w:t>vita»[</w:t>
      </w:r>
      <w:proofErr w:type="gramEnd"/>
      <w:r>
        <w:t>3]. Il Catechismo della Chiesa Cattolica specifica, poi, che «i sacramentali non conferiscono la grazia dello Spirito Santo alla maniera dei sacramenti; però mediante la preghiera della Chiesa preparano a ricevere la grazia e dispon</w:t>
      </w:r>
      <w:r>
        <w:t>gono a cooperare con essa» (n. 1670).</w:t>
      </w:r>
    </w:p>
    <w:p w:rsidR="00945067" w:rsidRDefault="00DF6B32">
      <w:pPr>
        <w:ind w:left="-3" w:right="69"/>
      </w:pPr>
      <w:r>
        <w:t xml:space="preserve">Al genere dei sacramentali appartengono le benedizioni, con le quali la Chiesa «chiama gli uomini a lodare Dio, li invita a chiedere la sua protezione, li esorta a meritare, con la santità della vita, la sua </w:t>
      </w:r>
      <w:proofErr w:type="gramStart"/>
      <w:r>
        <w:t>misericord</w:t>
      </w:r>
      <w:r>
        <w:t>ia»[</w:t>
      </w:r>
      <w:proofErr w:type="gramEnd"/>
      <w:r>
        <w:t xml:space="preserve">4]. Esse, inoltre, «istituite in certo qual modo a imitazione dei sacramenti, si riportano sempre e principalmente a effetti spirituali, che ottengono per impetrazione della </w:t>
      </w:r>
      <w:proofErr w:type="gramStart"/>
      <w:r>
        <w:t>Chiesa»[</w:t>
      </w:r>
      <w:proofErr w:type="gramEnd"/>
      <w:r>
        <w:t>5].</w:t>
      </w:r>
    </w:p>
    <w:p w:rsidR="00945067" w:rsidRDefault="00DF6B32">
      <w:pPr>
        <w:ind w:left="-3" w:right="69"/>
      </w:pPr>
      <w:r>
        <w:t>Di conseguenza, per essere coerenti con la natura dei sacramentali</w:t>
      </w:r>
      <w:r>
        <w:t>, quando si invoca una benedizione su alcune relazioni umane occorre – oltre alla retta intenzione di coloro che ne partecipano – che ciò che viene benedetto sia oggettivamente e positivamente ordinato a ricevere e ad esprimere la grazia, in funzione dei d</w:t>
      </w:r>
      <w:r>
        <w:t>isegni di Dio iscritti nella Creazione e pienamente rivelati da Cristo Signore. Sono quindi compatibili con l’essenza della benedizione impartita dalla Chiesa solo quelle realtà che sono di per sé ordinate a servire quei disegni.</w:t>
      </w:r>
    </w:p>
    <w:p w:rsidR="00945067" w:rsidRDefault="00DF6B32">
      <w:pPr>
        <w:ind w:left="-3" w:right="69"/>
      </w:pPr>
      <w:r>
        <w:t>Per tale motivo, non è lec</w:t>
      </w:r>
      <w:r>
        <w:t>ito impartire una benedizione a relazioni, o a partenariati anche stabili, che implicano una prassi sessuale fuori dal matrimonio (vale a dire, fuori dell’unione indissolubile di un uomo e una donna aperta di per sé alla trasmissione della vita), come è il</w:t>
      </w:r>
      <w:r>
        <w:t xml:space="preserve"> caso delle unioni fra persone dello stesso </w:t>
      </w:r>
      <w:proofErr w:type="gramStart"/>
      <w:r>
        <w:t>sesso[</w:t>
      </w:r>
      <w:proofErr w:type="gramEnd"/>
      <w:r>
        <w:t>6]. La presenza in tali relazioni di elementi positivi, che in sé sono pur da apprezzare e valorizzare, non è comunque in grado di coonestarle e renderle quindi legittimamente oggetto di una benedizione ecc</w:t>
      </w:r>
      <w:r>
        <w:t>lesiale, poiché tali elementi si trovano al servizio di una unione non ordinata al disegno del Creatore.</w:t>
      </w:r>
    </w:p>
    <w:p w:rsidR="00945067" w:rsidRDefault="00DF6B32">
      <w:pPr>
        <w:ind w:left="-3" w:right="69"/>
      </w:pPr>
      <w:r>
        <w:t>Inoltre, poiché le benedizioni sulle persone sono in relazione con i sacramenti, la benedizione delle unioni omosessuali non può essere considerata lec</w:t>
      </w:r>
      <w:r>
        <w:t>ita, in quanto costituirebbe in certo qual modo una imitazione o un rimando di analogia con la benedizione nuziale[7], invocata sull’uomo e la donna che si uniscono nel sacramento del Matrimonio, dato che «non esiste fondamento alcuno per assimilare o stab</w:t>
      </w:r>
      <w:r>
        <w:t>ilire analogie, neppur remote, tra le unioni omosessuali e il disegno di Dio sul matrimonio e la famiglia»[8].</w:t>
      </w:r>
    </w:p>
    <w:p w:rsidR="00945067" w:rsidRDefault="00DF6B32">
      <w:pPr>
        <w:ind w:left="-3" w:right="69"/>
      </w:pPr>
      <w:r>
        <w:t>La dichiarazione di illiceità delle benedizioni di unioni tra persone dello stesso sesso non è quindi, e non intende essere, un’ingiusta discrimi</w:t>
      </w:r>
      <w:r>
        <w:t>nazione, quanto invece richiamare la verità del rito liturgico e di quanto corrisponde profondamente all’essenza dei sacramentali, così come la Chiesa li intende.</w:t>
      </w:r>
    </w:p>
    <w:p w:rsidR="00945067" w:rsidRDefault="00DF6B32">
      <w:pPr>
        <w:ind w:left="-3" w:right="69"/>
      </w:pPr>
      <w:r>
        <w:t>La comunità cristiana e i Pastori sono chiamati ad accogliere con rispetto e delicatezza le p</w:t>
      </w:r>
      <w:r>
        <w:t>ersone con inclinazione omosessuale, e sapranno trovare le modalità più adeguate, coerenti con l’insegnamento ecclesiale, per annunciare il Vangelo nella sua pienezza. Queste, nello stesso tempo, riconoscano la sincera vicinanza della Chiesa – che prega pe</w:t>
      </w:r>
      <w:r>
        <w:t xml:space="preserve">r loro, li accompagna, condivide il loro cammino di fede </w:t>
      </w:r>
      <w:proofErr w:type="gramStart"/>
      <w:r>
        <w:t>cristiana[</w:t>
      </w:r>
      <w:proofErr w:type="gramEnd"/>
      <w:r>
        <w:t>9] – e ne accolgano con sincera disponibilità gli insegnamenti.</w:t>
      </w:r>
    </w:p>
    <w:p w:rsidR="00945067" w:rsidRDefault="00DF6B32">
      <w:pPr>
        <w:ind w:left="-3" w:right="69"/>
      </w:pPr>
      <w:r>
        <w:t xml:space="preserve">La risposta al </w:t>
      </w:r>
      <w:proofErr w:type="spellStart"/>
      <w:r>
        <w:t>dubium</w:t>
      </w:r>
      <w:proofErr w:type="spellEnd"/>
      <w:r>
        <w:t xml:space="preserve"> proposto non esclude che vengano impartite benedizioni a singole persone con inclinazione </w:t>
      </w:r>
      <w:proofErr w:type="gramStart"/>
      <w:r>
        <w:t>omosessuale[</w:t>
      </w:r>
      <w:proofErr w:type="gramEnd"/>
      <w:r>
        <w:t>1</w:t>
      </w:r>
      <w:r>
        <w:t>0], le quali manifestino la volontà di vivere in fedeltà ai disegni rivelati di Dio così come proposti dall’insegnamento ecclesiale, ma dichiara illecita ogni forma di benedizione che tenda a riconoscere le loro unioni. In questo caso, infatti, la benedizi</w:t>
      </w:r>
      <w:r>
        <w:t xml:space="preserve">one manifesterebbe l’intenzione non di affidare alla </w:t>
      </w:r>
      <w:r>
        <w:lastRenderedPageBreak/>
        <w:t>protezione e all’aiuto di Dio alcune singole persone, nel senso di cui sopra, ma di approvare e incoraggiare una scelta ed una prassi di vita che non possono essere riconosciute come oggettivamente ordin</w:t>
      </w:r>
      <w:r>
        <w:t xml:space="preserve">ate ai disegni rivelati di </w:t>
      </w:r>
      <w:proofErr w:type="gramStart"/>
      <w:r>
        <w:t>Dio[</w:t>
      </w:r>
      <w:proofErr w:type="gramEnd"/>
      <w:r>
        <w:t>11].</w:t>
      </w:r>
    </w:p>
    <w:p w:rsidR="00945067" w:rsidRDefault="00DF6B32">
      <w:pPr>
        <w:ind w:left="-3" w:right="69"/>
      </w:pPr>
      <w:r>
        <w:t xml:space="preserve">Nel contempo, la Chiesa rammenta che Dio stesso non smette di benedire ciascuno dei suoi figli pellegrinanti in questo mondo, perché per Lui «siamo più importanti di tutti i peccati che noi possiamo </w:t>
      </w:r>
      <w:proofErr w:type="gramStart"/>
      <w:r>
        <w:t>fare»[</w:t>
      </w:r>
      <w:proofErr w:type="gramEnd"/>
      <w:r>
        <w:t>12]. Ma non ben</w:t>
      </w:r>
      <w:r>
        <w:t xml:space="preserve">edice né può benedire il peccato: benedice l’uomo peccatore, affinché riconosca di essere parte del suo disegno d’amore e si lasci cambiare da Lui. Egli infatti «ci prende come siamo, ma non ci lascia mai come </w:t>
      </w:r>
      <w:proofErr w:type="gramStart"/>
      <w:r>
        <w:t>siamo»[</w:t>
      </w:r>
      <w:proofErr w:type="gramEnd"/>
      <w:r>
        <w:t>13].</w:t>
      </w:r>
    </w:p>
    <w:p w:rsidR="00945067" w:rsidRDefault="00DF6B32">
      <w:pPr>
        <w:ind w:left="-3" w:right="69"/>
      </w:pPr>
      <w:r>
        <w:t>Per i suddetti motivi, la Chiesa n</w:t>
      </w:r>
      <w:r>
        <w:t>on dispone, né può disporre, del potere di benedire unioni di persone dello stesso sesso nel senso sopra inteso.</w:t>
      </w:r>
    </w:p>
    <w:p w:rsidR="00945067" w:rsidRDefault="00DF6B32">
      <w:pPr>
        <w:spacing w:after="277"/>
        <w:ind w:left="7" w:right="684" w:hanging="10"/>
        <w:jc w:val="both"/>
      </w:pPr>
      <w:r>
        <w:t xml:space="preserve">Il Sommo Pontefice Francesco, nel corso di un’Udienza concessa al sottoscritto Segretario di questa Congregazione, è stato informato e ha dato </w:t>
      </w:r>
      <w:r>
        <w:t xml:space="preserve">il suo assenso alla pubblicazione del suddetto </w:t>
      </w:r>
      <w:proofErr w:type="spellStart"/>
      <w:r>
        <w:t>Responsum</w:t>
      </w:r>
      <w:proofErr w:type="spellEnd"/>
      <w:r>
        <w:t xml:space="preserve"> ad </w:t>
      </w:r>
      <w:proofErr w:type="spellStart"/>
      <w:r>
        <w:t>dubium</w:t>
      </w:r>
      <w:proofErr w:type="spellEnd"/>
      <w:r>
        <w:t>,</w:t>
      </w:r>
      <w:r>
        <w:t xml:space="preserve"> con annessa </w:t>
      </w:r>
      <w:r>
        <w:t>Nota esplicativa</w:t>
      </w:r>
      <w:r>
        <w:t>.</w:t>
      </w:r>
    </w:p>
    <w:p w:rsidR="00945067" w:rsidRDefault="00DF6B32">
      <w:pPr>
        <w:ind w:left="-3" w:right="69"/>
      </w:pPr>
      <w:r>
        <w:t>Dato a Roma, dalla Sede della Congregazione per la Dottrina della Fede, il 22 febbraio 2021, Festa della Cattedra di San Pietro, Apostolo.</w:t>
      </w:r>
    </w:p>
    <w:p w:rsidR="00945067" w:rsidRDefault="00DF6B32">
      <w:pPr>
        <w:spacing w:after="0" w:line="259" w:lineRule="auto"/>
        <w:ind w:left="1781" w:right="1806" w:hanging="10"/>
        <w:jc w:val="center"/>
      </w:pPr>
      <w:r>
        <w:t xml:space="preserve">Luis F. Card. </w:t>
      </w:r>
      <w:proofErr w:type="spellStart"/>
      <w:r>
        <w:t>Ladaria</w:t>
      </w:r>
      <w:proofErr w:type="spellEnd"/>
      <w:r>
        <w:t>, S.I.</w:t>
      </w:r>
    </w:p>
    <w:p w:rsidR="00945067" w:rsidRDefault="00DF6B32">
      <w:pPr>
        <w:spacing w:after="213" w:line="259" w:lineRule="auto"/>
        <w:ind w:left="1781" w:right="1770" w:hanging="10"/>
        <w:jc w:val="center"/>
      </w:pPr>
      <w:r>
        <w:t>Prefetto</w:t>
      </w:r>
    </w:p>
    <w:p w:rsidR="00945067" w:rsidRDefault="00DF6B32">
      <w:pPr>
        <w:spacing w:after="3" w:line="259" w:lineRule="auto"/>
        <w:ind w:left="10" w:right="33" w:hanging="10"/>
        <w:jc w:val="right"/>
      </w:pPr>
      <w:r>
        <w:t>✠</w:t>
      </w:r>
      <w:r>
        <w:t xml:space="preserve"> Giacomo Morandi</w:t>
      </w:r>
    </w:p>
    <w:p w:rsidR="00945067" w:rsidRDefault="00DF6B32">
      <w:pPr>
        <w:spacing w:after="3" w:line="259" w:lineRule="auto"/>
        <w:ind w:left="10" w:right="33" w:hanging="10"/>
        <w:jc w:val="right"/>
      </w:pPr>
      <w:r>
        <w:t xml:space="preserve">Arcivescovo </w:t>
      </w:r>
      <w:proofErr w:type="spellStart"/>
      <w:r>
        <w:t>tit</w:t>
      </w:r>
      <w:proofErr w:type="spellEnd"/>
      <w:r>
        <w:t>. di Cerveteri</w:t>
      </w:r>
    </w:p>
    <w:p w:rsidR="00945067" w:rsidRDefault="00DF6B32">
      <w:pPr>
        <w:spacing w:after="209" w:line="259" w:lineRule="auto"/>
        <w:ind w:left="10" w:right="33" w:hanging="10"/>
        <w:jc w:val="right"/>
      </w:pPr>
      <w:r>
        <w:t>Segretario</w:t>
      </w:r>
      <w:bookmarkStart w:id="0" w:name="_GoBack"/>
      <w:bookmarkEnd w:id="0"/>
    </w:p>
    <w:sectPr w:rsidR="00945067">
      <w:headerReference w:type="even" r:id="rId9"/>
      <w:headerReference w:type="default" r:id="rId10"/>
      <w:headerReference w:type="first" r:id="rId11"/>
      <w:pgSz w:w="11900" w:h="16840"/>
      <w:pgMar w:top="720" w:right="672" w:bottom="688" w:left="7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32" w:rsidRDefault="00DF6B32">
      <w:pPr>
        <w:spacing w:after="0" w:line="240" w:lineRule="auto"/>
      </w:pPr>
      <w:r>
        <w:separator/>
      </w:r>
    </w:p>
  </w:endnote>
  <w:endnote w:type="continuationSeparator" w:id="0">
    <w:p w:rsidR="00DF6B32" w:rsidRDefault="00D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32" w:rsidRDefault="00DF6B32">
      <w:pPr>
        <w:spacing w:after="0" w:line="240" w:lineRule="auto"/>
      </w:pPr>
      <w:r>
        <w:separator/>
      </w:r>
    </w:p>
  </w:footnote>
  <w:footnote w:type="continuationSeparator" w:id="0">
    <w:p w:rsidR="00DF6B32" w:rsidRDefault="00DF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67" w:rsidRDefault="00DF6B32">
    <w:pPr>
      <w:spacing w:after="0" w:line="259" w:lineRule="auto"/>
      <w:ind w:right="4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67" w:rsidRDefault="00DF6B32">
    <w:pPr>
      <w:spacing w:after="0" w:line="259" w:lineRule="auto"/>
      <w:ind w:right="4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314" w:rsidRPr="00391314">
      <w:rPr>
        <w:rFonts w:ascii="Arial" w:eastAsia="Arial" w:hAnsi="Arial" w:cs="Arial"/>
        <w:noProof/>
        <w:sz w:val="24"/>
      </w:rPr>
      <w:t>3</w:t>
    </w:r>
    <w:r>
      <w:rPr>
        <w:rFonts w:ascii="Arial" w:eastAsia="Arial" w:hAnsi="Arial" w:cs="Arial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67" w:rsidRDefault="00945067">
    <w:pPr>
      <w:spacing w:after="160" w:line="259" w:lineRule="auto"/>
      <w:ind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40"/>
    <w:multiLevelType w:val="hybridMultilevel"/>
    <w:tmpl w:val="5CBC1EC4"/>
    <w:lvl w:ilvl="0" w:tplc="A73E7CFC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A2D0A8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A46894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5ECB0A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320EB8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44FA0A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9425AC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D2E052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4A2284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A1EED"/>
    <w:multiLevelType w:val="hybridMultilevel"/>
    <w:tmpl w:val="22CA04A8"/>
    <w:lvl w:ilvl="0" w:tplc="DB747A2A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6644BE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C83152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C44548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545740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581D40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9CE0AC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7817C0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2C9A50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A308C"/>
    <w:multiLevelType w:val="hybridMultilevel"/>
    <w:tmpl w:val="623AE7F2"/>
    <w:lvl w:ilvl="0" w:tplc="B50054B4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5CF33A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F4468A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CE3C38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E665F4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CA7596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4631FA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861CB0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1C875C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B21B7"/>
    <w:multiLevelType w:val="hybridMultilevel"/>
    <w:tmpl w:val="4154AEB6"/>
    <w:lvl w:ilvl="0" w:tplc="E72AE6A6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D8452E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02A65E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60406A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44F02C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264E42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24D15C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E08FDE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721D58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834BD"/>
    <w:multiLevelType w:val="hybridMultilevel"/>
    <w:tmpl w:val="DB700074"/>
    <w:lvl w:ilvl="0" w:tplc="C9DE014E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4E906E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648FA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10A2BE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1C06D0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FED7EC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AE746A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F4D006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CCC020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9379FD"/>
    <w:multiLevelType w:val="hybridMultilevel"/>
    <w:tmpl w:val="83689D70"/>
    <w:lvl w:ilvl="0" w:tplc="447CC526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BA37DE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E375C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AF994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CEA0A0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ECFAE6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968E50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9278DA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28631A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5C4FEA"/>
    <w:multiLevelType w:val="hybridMultilevel"/>
    <w:tmpl w:val="0D200298"/>
    <w:lvl w:ilvl="0" w:tplc="D48203FC">
      <w:start w:val="1"/>
      <w:numFmt w:val="decimal"/>
      <w:lvlText w:val="[%1]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82CF02">
      <w:start w:val="1"/>
      <w:numFmt w:val="lowerLetter"/>
      <w:lvlText w:val="%2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87A00">
      <w:start w:val="1"/>
      <w:numFmt w:val="lowerRoman"/>
      <w:lvlText w:val="%3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B2C848">
      <w:start w:val="1"/>
      <w:numFmt w:val="decimal"/>
      <w:lvlText w:val="%4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4CF270">
      <w:start w:val="1"/>
      <w:numFmt w:val="lowerLetter"/>
      <w:lvlText w:val="%5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02CF7A">
      <w:start w:val="1"/>
      <w:numFmt w:val="lowerRoman"/>
      <w:lvlText w:val="%6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AE38A2">
      <w:start w:val="1"/>
      <w:numFmt w:val="decimal"/>
      <w:lvlText w:val="%7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96023A">
      <w:start w:val="1"/>
      <w:numFmt w:val="lowerLetter"/>
      <w:lvlText w:val="%8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EDEAA">
      <w:start w:val="1"/>
      <w:numFmt w:val="lowerRoman"/>
      <w:lvlText w:val="%9"/>
      <w:lvlJc w:val="left"/>
      <w:pPr>
        <w:ind w:left="61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7"/>
    <w:rsid w:val="00391314"/>
    <w:rsid w:val="00945067"/>
    <w:rsid w:val="00D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B77B-C99E-4692-972C-5C466A1A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80" w:line="216" w:lineRule="auto"/>
      <w:ind w:right="48" w:firstLine="2"/>
    </w:pPr>
    <w:rPr>
      <w:rFonts w:ascii="Arial Unicode MS" w:eastAsia="Arial Unicode MS" w:hAnsi="Arial Unicode MS" w:cs="Arial Unicode MS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2</cp:revision>
  <dcterms:created xsi:type="dcterms:W3CDTF">2021-06-07T19:51:00Z</dcterms:created>
  <dcterms:modified xsi:type="dcterms:W3CDTF">2021-06-07T19:51:00Z</dcterms:modified>
</cp:coreProperties>
</file>